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Georgia" w:cs="Georgia" w:eastAsia="Georgia" w:hAnsi="Georgia"/>
          <w:color w:val="6B7570"/>
          <w:spacing w:val="40"/>
          <w:sz w:val="16"/>
          <w:szCs w:val="16"/>
        </w:rPr>
        <w:t xml:space="preserve">TEACHING AI-AUGMENTED LEGAL RESEARCH</w:t>
      </w:r>
    </w:p>
    <w:p>
      <w:pPr>
        <w:spacing w:after="160" w:before="0"/>
      </w:pPr>
      <w:r>
        <w:rPr>
          <w:rFonts w:ascii="Georgia" w:cs="Georgia" w:eastAsia="Georgia" w:hAnsi="Georgia"/>
          <w:color w:val="2F3932"/>
          <w:sz w:val="52"/>
          <w:szCs w:val="52"/>
        </w:rPr>
        <w:t xml:space="preserve">Hallucination / Error Taxonomy for AI-Assisted Legal Research</w:t>
      </w:r>
    </w:p>
    <w:p>
      <w:pPr>
        <w:pBdr>
          <w:bottom w:val="single" w:color="E5E5E4" w:sz="4" w:space="10"/>
        </w:pBdr>
        <w:spacing w:after="0" w:before="0"/>
      </w:pPr>
      <w:r>
        <w:rPr>
          <w:rFonts w:ascii="Georgia" w:cs="Georgia" w:eastAsia="Georgia" w:hAnsi="Georgia"/>
          <w:i/>
          <w:iCs/>
          <w:color w:val="6B7570"/>
          <w:sz w:val="20"/>
          <w:szCs w:val="20"/>
        </w:rPr>
        <w:t xml:space="preserve">Use this taxonomy when reviewing AI-generated or AI-assisted legal research, memos, briefs, summaries, or drafts. A polished answer is not the same as a verified answer.</w:t>
      </w:r>
    </w:p>
    <w:p>
      <w:pPr>
        <w:spacing w:after="200" w:before="0"/>
      </w:pPr>
    </w:p>
    <w:p>
      <w:pPr>
        <w:pBdr>
          <w:bottom w:val="single" w:color="E5E5E4" w:sz="4" w:space="4"/>
        </w:pBdr>
        <w:spacing w:after="80" w:before="320"/>
      </w:pPr>
      <w:r>
        <w:rPr>
          <w:rFonts w:ascii="Georgia" w:cs="Georgia" w:eastAsia="Georgia" w:hAnsi="Georgia"/>
          <w:b/>
          <w:bCs/>
          <w:color w:val="2F3932"/>
          <w:sz w:val="26"/>
          <w:szCs w:val="26"/>
        </w:rPr>
        <w:t xml:space="preserve">1. Citation Fabrication</w:t>
      </w:r>
    </w:p>
    <w:p>
      <w:pPr>
        <w:spacing w:after="80" w:before="10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The cited authority does not exist, or the case name, reporter citation, statute, regulation, or source cannot be found.</w:t>
      </w:r>
    </w:p>
    <w:p>
      <w:pPr>
        <w:spacing w:after="60" w:before="160"/>
      </w:pPr>
      <w:r>
        <w:rPr>
          <w:rFonts w:ascii="Georgia" w:cs="Georgia" w:eastAsia="Georgia" w:hAnsi="Georgia"/>
          <w:b/>
          <w:bCs/>
          <w:color w:val="2F3932"/>
          <w:sz w:val="22"/>
          <w:szCs w:val="22"/>
        </w:rPr>
        <w:t xml:space="preserve">Common signs: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The case name sounds plausible but cannot be located.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The reporter citation leads to a different case.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The jurisdiction, court, or year does not match the citation.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The tool gives a citation but no reliable source link or database result confirms it.</w:t>
      </w:r>
    </w:p>
    <w:p>
      <w:pPr>
        <w:pBdr>
          <w:left w:val="single" w:color="E5E5E4" w:sz="8" w:space="8"/>
        </w:pBdr>
        <w:spacing w:after="120" w:before="160"/>
        <w:ind w:left="280"/>
      </w:pPr>
      <w:r>
        <w:rPr>
          <w:rFonts w:ascii="Georgia" w:cs="Georgia" w:eastAsia="Georgia" w:hAnsi="Georgia"/>
          <w:b/>
          <w:bCs/>
          <w:color w:val="2F3932"/>
          <w:sz w:val="22"/>
          <w:szCs w:val="22"/>
        </w:rPr>
        <w:t xml:space="preserve">Verification move: </w:t>
      </w:r>
      <w:r>
        <w:rPr>
          <w:rFonts w:ascii="Georgia" w:cs="Georgia" w:eastAsia="Georgia" w:hAnsi="Georgia"/>
          <w:i/>
          <w:iCs/>
          <w:color w:val="6B7570"/>
          <w:sz w:val="22"/>
          <w:szCs w:val="22"/>
        </w:rPr>
        <w:t xml:space="preserve">Search the exact citation and the party names in a legal research database. If neither confirms the authority, do not rely on it.</w:t>
      </w:r>
    </w:p>
    <w:p>
      <w:pPr>
        <w:pBdr>
          <w:bottom w:val="single" w:color="E5E5E4" w:sz="4" w:space="4"/>
        </w:pBdr>
        <w:spacing w:after="80" w:before="320"/>
      </w:pPr>
      <w:r>
        <w:rPr>
          <w:rFonts w:ascii="Georgia" w:cs="Georgia" w:eastAsia="Georgia" w:hAnsi="Georgia"/>
          <w:b/>
          <w:bCs/>
          <w:color w:val="2F3932"/>
          <w:sz w:val="26"/>
          <w:szCs w:val="26"/>
        </w:rPr>
        <w:t xml:space="preserve">2. Citation Drift</w:t>
      </w:r>
    </w:p>
    <w:p>
      <w:pPr>
        <w:spacing w:after="80" w:before="10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The authority exists, but the AI tool misstates what it says.</w:t>
      </w:r>
    </w:p>
    <w:p>
      <w:pPr>
        <w:spacing w:after="60" w:before="160"/>
      </w:pPr>
      <w:r>
        <w:rPr>
          <w:rFonts w:ascii="Georgia" w:cs="Georgia" w:eastAsia="Georgia" w:hAnsi="Georgia"/>
          <w:b/>
          <w:bCs/>
          <w:color w:val="2F3932"/>
          <w:sz w:val="22"/>
          <w:szCs w:val="22"/>
        </w:rPr>
        <w:t xml:space="preserve">Common signs: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The case is real, but the parenthetical is wrong.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A quotation is inaccurate, incomplete, or taken out of context.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The AI tool overstates a narrow holding.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The cited case discusses the topic but does not support the proposition.</w:t>
      </w:r>
    </w:p>
    <w:p>
      <w:pPr>
        <w:pBdr>
          <w:left w:val="single" w:color="E5E5E4" w:sz="8" w:space="8"/>
        </w:pBdr>
        <w:spacing w:after="120" w:before="160"/>
        <w:ind w:left="280"/>
      </w:pPr>
      <w:r>
        <w:rPr>
          <w:rFonts w:ascii="Georgia" w:cs="Georgia" w:eastAsia="Georgia" w:hAnsi="Georgia"/>
          <w:b/>
          <w:bCs/>
          <w:color w:val="2F3932"/>
          <w:sz w:val="22"/>
          <w:szCs w:val="22"/>
        </w:rPr>
        <w:t xml:space="preserve">Verification move: </w:t>
      </w:r>
      <w:r>
        <w:rPr>
          <w:rFonts w:ascii="Georgia" w:cs="Georgia" w:eastAsia="Georgia" w:hAnsi="Georgia"/>
          <w:i/>
          <w:iCs/>
          <w:color w:val="6B7570"/>
          <w:sz w:val="22"/>
          <w:szCs w:val="22"/>
        </w:rPr>
        <w:t xml:space="preserve">Open the full case or source. Read the cited page, surrounding paragraphs, and procedural context.</w:t>
      </w:r>
    </w:p>
    <w:p>
      <w:pPr>
        <w:pBdr>
          <w:bottom w:val="single" w:color="E5E5E4" w:sz="4" w:space="4"/>
        </w:pBdr>
        <w:spacing w:after="80" w:before="320"/>
      </w:pPr>
      <w:r>
        <w:rPr>
          <w:rFonts w:ascii="Georgia" w:cs="Georgia" w:eastAsia="Georgia" w:hAnsi="Georgia"/>
          <w:b/>
          <w:bCs/>
          <w:color w:val="2F3932"/>
          <w:sz w:val="26"/>
          <w:szCs w:val="26"/>
        </w:rPr>
        <w:t xml:space="preserve">3. Doctrinal Distortion</w:t>
      </w:r>
    </w:p>
    <w:p>
      <w:pPr>
        <w:spacing w:after="80" w:before="10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The legal rule is real, but it is used in the wrong jurisdiction, wrong procedural posture, wrong claim, or wrong doctrinal setting.</w:t>
      </w:r>
    </w:p>
    <w:p>
      <w:pPr>
        <w:spacing w:after="60" w:before="160"/>
      </w:pPr>
      <w:r>
        <w:rPr>
          <w:rFonts w:ascii="Georgia" w:cs="Georgia" w:eastAsia="Georgia" w:hAnsi="Georgia"/>
          <w:b/>
          <w:bCs/>
          <w:color w:val="2F3932"/>
          <w:sz w:val="22"/>
          <w:szCs w:val="22"/>
        </w:rPr>
        <w:t xml:space="preserve">Common signs: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A rule from another circuit is described as controlling.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A standard from one claim is applied to another.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A federal rule is treated as state law, or vice versa.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A persuasive authority is presented as binding.</w:t>
      </w:r>
    </w:p>
    <w:p>
      <w:pPr>
        <w:pBdr>
          <w:left w:val="single" w:color="E5E5E4" w:sz="8" w:space="8"/>
        </w:pBdr>
        <w:spacing w:after="120" w:before="160"/>
        <w:ind w:left="280"/>
      </w:pPr>
      <w:r>
        <w:rPr>
          <w:rFonts w:ascii="Georgia" w:cs="Georgia" w:eastAsia="Georgia" w:hAnsi="Georgia"/>
          <w:b/>
          <w:bCs/>
          <w:color w:val="2F3932"/>
          <w:sz w:val="22"/>
          <w:szCs w:val="22"/>
        </w:rPr>
        <w:t xml:space="preserve">Verification move: </w:t>
      </w:r>
      <w:r>
        <w:rPr>
          <w:rFonts w:ascii="Georgia" w:cs="Georgia" w:eastAsia="Georgia" w:hAnsi="Georgia"/>
          <w:i/>
          <w:iCs/>
          <w:color w:val="6B7570"/>
          <w:sz w:val="22"/>
          <w:szCs w:val="22"/>
        </w:rPr>
        <w:t xml:space="preserve">Check jurisdiction, court level, cause of action, procedural posture, and whether the authority is binding or persuasive.</w:t>
      </w:r>
    </w:p>
    <w:p>
      <w:pPr>
        <w:pBdr>
          <w:bottom w:val="single" w:color="E5E5E4" w:sz="4" w:space="4"/>
        </w:pBdr>
        <w:spacing w:after="80" w:before="320"/>
      </w:pPr>
      <w:r>
        <w:rPr>
          <w:rFonts w:ascii="Georgia" w:cs="Georgia" w:eastAsia="Georgia" w:hAnsi="Georgia"/>
          <w:b/>
          <w:bCs/>
          <w:color w:val="2F3932"/>
          <w:sz w:val="26"/>
          <w:szCs w:val="26"/>
        </w:rPr>
        <w:t xml:space="preserve">4. Assumed Fact</w:t>
      </w:r>
    </w:p>
    <w:p>
      <w:pPr>
        <w:spacing w:after="80" w:before="10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The AI tool adds factual details that were not provided.</w:t>
      </w:r>
    </w:p>
    <w:p>
      <w:pPr>
        <w:spacing w:after="60" w:before="160"/>
      </w:pPr>
      <w:r>
        <w:rPr>
          <w:rFonts w:ascii="Georgia" w:cs="Georgia" w:eastAsia="Georgia" w:hAnsi="Georgia"/>
          <w:b/>
          <w:bCs/>
          <w:color w:val="2F3932"/>
          <w:sz w:val="22"/>
          <w:szCs w:val="22"/>
        </w:rPr>
        <w:t xml:space="preserve">Common signs: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The output invents dates, conversations, motives, documents, procedural history, or witness statements.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The tool fills in “normal” facts that sound likely but are unsupported.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The draft makes the client’s position stronger or weaker by adding facts not in the record.</w:t>
      </w:r>
    </w:p>
    <w:p>
      <w:pPr>
        <w:pBdr>
          <w:left w:val="single" w:color="E5E5E4" w:sz="8" w:space="8"/>
        </w:pBdr>
        <w:spacing w:after="120" w:before="160"/>
        <w:ind w:left="280"/>
      </w:pPr>
      <w:r>
        <w:rPr>
          <w:rFonts w:ascii="Georgia" w:cs="Georgia" w:eastAsia="Georgia" w:hAnsi="Georgia"/>
          <w:b/>
          <w:bCs/>
          <w:color w:val="2F3932"/>
          <w:sz w:val="22"/>
          <w:szCs w:val="22"/>
        </w:rPr>
        <w:t xml:space="preserve">Verification move: </w:t>
      </w:r>
      <w:r>
        <w:rPr>
          <w:rFonts w:ascii="Georgia" w:cs="Georgia" w:eastAsia="Georgia" w:hAnsi="Georgia"/>
          <w:i/>
          <w:iCs/>
          <w:color w:val="6B7570"/>
          <w:sz w:val="22"/>
          <w:szCs w:val="22"/>
        </w:rPr>
        <w:t xml:space="preserve">Compare every factual statement against the client materials, record, assignment facts, or source documents.</w:t>
      </w:r>
    </w:p>
    <w:p>
      <w:pPr>
        <w:pBdr>
          <w:bottom w:val="single" w:color="E5E5E4" w:sz="4" w:space="4"/>
        </w:pBdr>
        <w:spacing w:after="80" w:before="320"/>
      </w:pPr>
      <w:r>
        <w:rPr>
          <w:rFonts w:ascii="Georgia" w:cs="Georgia" w:eastAsia="Georgia" w:hAnsi="Georgia"/>
          <w:b/>
          <w:bCs/>
          <w:color w:val="2F3932"/>
          <w:sz w:val="26"/>
          <w:szCs w:val="26"/>
        </w:rPr>
        <w:t xml:space="preserve">5. Source Mismatch</w:t>
      </w:r>
    </w:p>
    <w:p>
      <w:pPr>
        <w:spacing w:after="80" w:before="10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The AI tool cites a source that is not appropriate for the task.</w:t>
      </w:r>
    </w:p>
    <w:p>
      <w:pPr>
        <w:spacing w:after="60" w:before="160"/>
      </w:pPr>
      <w:r>
        <w:rPr>
          <w:rFonts w:ascii="Georgia" w:cs="Georgia" w:eastAsia="Georgia" w:hAnsi="Georgia"/>
          <w:b/>
          <w:bCs/>
          <w:color w:val="2F3932"/>
          <w:sz w:val="22"/>
          <w:szCs w:val="22"/>
        </w:rPr>
        <w:t xml:space="preserve">Common signs: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A general web source is used for a legal proposition.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A secondary source is treated as binding law.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A summary or headnote is treated as the court’s reasoning.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A statute is cited without checking annotations, effective dates, or related provisions.</w:t>
      </w:r>
    </w:p>
    <w:p>
      <w:pPr>
        <w:pBdr>
          <w:left w:val="single" w:color="E5E5E4" w:sz="8" w:space="8"/>
        </w:pBdr>
        <w:spacing w:after="120" w:before="160"/>
        <w:ind w:left="280"/>
      </w:pPr>
      <w:r>
        <w:rPr>
          <w:rFonts w:ascii="Georgia" w:cs="Georgia" w:eastAsia="Georgia" w:hAnsi="Georgia"/>
          <w:b/>
          <w:bCs/>
          <w:color w:val="2F3932"/>
          <w:sz w:val="22"/>
          <w:szCs w:val="22"/>
        </w:rPr>
        <w:t xml:space="preserve">Verification move: </w:t>
      </w:r>
      <w:r>
        <w:rPr>
          <w:rFonts w:ascii="Georgia" w:cs="Georgia" w:eastAsia="Georgia" w:hAnsi="Georgia"/>
          <w:i/>
          <w:iCs/>
          <w:color w:val="6B7570"/>
          <w:sz w:val="22"/>
          <w:szCs w:val="22"/>
        </w:rPr>
        <w:t xml:space="preserve">Ask: what type of source is this, and is it the right source for the claim being made?</w:t>
      </w:r>
    </w:p>
    <w:p>
      <w:pPr>
        <w:pBdr>
          <w:bottom w:val="single" w:color="E5E5E4" w:sz="4" w:space="4"/>
        </w:pBdr>
        <w:spacing w:after="80" w:before="320"/>
      </w:pPr>
      <w:r>
        <w:rPr>
          <w:rFonts w:ascii="Georgia" w:cs="Georgia" w:eastAsia="Georgia" w:hAnsi="Georgia"/>
          <w:b/>
          <w:bCs/>
          <w:color w:val="2F3932"/>
          <w:sz w:val="26"/>
          <w:szCs w:val="26"/>
        </w:rPr>
        <w:t xml:space="preserve">6. Jurisdictional Slippage</w:t>
      </w:r>
    </w:p>
    <w:p>
      <w:pPr>
        <w:spacing w:after="80" w:before="10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The AI tool moves between jurisdictions without signaling the shift.</w:t>
      </w:r>
    </w:p>
    <w:p>
      <w:pPr>
        <w:spacing w:after="60" w:before="160"/>
      </w:pPr>
      <w:r>
        <w:rPr>
          <w:rFonts w:ascii="Georgia" w:cs="Georgia" w:eastAsia="Georgia" w:hAnsi="Georgia"/>
          <w:b/>
          <w:bCs/>
          <w:color w:val="2F3932"/>
          <w:sz w:val="22"/>
          <w:szCs w:val="22"/>
        </w:rPr>
        <w:t xml:space="preserve">Common signs:</w:t>
      </w:r>
    </w:p>
    <w:p>
      <w:pPr>
        <w:pStyle w:val="ListParagraph"/>
        <w:numPr>
          <w:ilvl w:val="0"/>
          <w:numId w:val="7"/>
        </w:numPr>
        <w:spacing w:after="40" w:before="4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Cases from different states are blended together.</w:t>
      </w:r>
    </w:p>
    <w:p>
      <w:pPr>
        <w:pStyle w:val="ListParagraph"/>
        <w:numPr>
          <w:ilvl w:val="0"/>
          <w:numId w:val="7"/>
        </w:numPr>
        <w:spacing w:after="40" w:before="4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Federal and state standards are combined.</w:t>
      </w:r>
    </w:p>
    <w:p>
      <w:pPr>
        <w:pStyle w:val="ListParagraph"/>
        <w:numPr>
          <w:ilvl w:val="0"/>
          <w:numId w:val="7"/>
        </w:numPr>
        <w:spacing w:after="40" w:before="4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The answer gives “general law” when jurisdiction-specific law is required.</w:t>
      </w:r>
    </w:p>
    <w:p>
      <w:pPr>
        <w:pStyle w:val="ListParagraph"/>
        <w:numPr>
          <w:ilvl w:val="0"/>
          <w:numId w:val="7"/>
        </w:numPr>
        <w:spacing w:after="40" w:before="4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The output omits local rules, agency rules, or state-specific exceptions.</w:t>
      </w:r>
    </w:p>
    <w:p>
      <w:pPr>
        <w:pBdr>
          <w:left w:val="single" w:color="E5E5E4" w:sz="8" w:space="8"/>
        </w:pBdr>
        <w:spacing w:after="120" w:before="160"/>
        <w:ind w:left="280"/>
      </w:pPr>
      <w:r>
        <w:rPr>
          <w:rFonts w:ascii="Georgia" w:cs="Georgia" w:eastAsia="Georgia" w:hAnsi="Georgia"/>
          <w:b/>
          <w:bCs/>
          <w:color w:val="2F3932"/>
          <w:sz w:val="22"/>
          <w:szCs w:val="22"/>
        </w:rPr>
        <w:t xml:space="preserve">Verification move: </w:t>
      </w:r>
      <w:r>
        <w:rPr>
          <w:rFonts w:ascii="Georgia" w:cs="Georgia" w:eastAsia="Georgia" w:hAnsi="Georgia"/>
          <w:i/>
          <w:iCs/>
          <w:color w:val="6B7570"/>
          <w:sz w:val="22"/>
          <w:szCs w:val="22"/>
        </w:rPr>
        <w:t xml:space="preserve">Confirm the governing jurisdiction before relying on any legal rule.</w:t>
      </w:r>
    </w:p>
    <w:p>
      <w:pPr>
        <w:pBdr>
          <w:bottom w:val="single" w:color="E5E5E4" w:sz="4" w:space="4"/>
        </w:pBdr>
        <w:spacing w:after="80" w:before="320"/>
      </w:pPr>
      <w:r>
        <w:rPr>
          <w:rFonts w:ascii="Georgia" w:cs="Georgia" w:eastAsia="Georgia" w:hAnsi="Georgia"/>
          <w:b/>
          <w:bCs/>
          <w:color w:val="2F3932"/>
          <w:sz w:val="26"/>
          <w:szCs w:val="26"/>
        </w:rPr>
        <w:t xml:space="preserve">7. Temporal Error</w:t>
      </w:r>
    </w:p>
    <w:p>
      <w:pPr>
        <w:spacing w:after="80" w:before="10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The AI tool relies on outdated, proposed, repealed, superseded, or not-yet-effective law.</w:t>
      </w:r>
    </w:p>
    <w:p>
      <w:pPr>
        <w:spacing w:after="60" w:before="160"/>
      </w:pPr>
      <w:r>
        <w:rPr>
          <w:rFonts w:ascii="Georgia" w:cs="Georgia" w:eastAsia="Georgia" w:hAnsi="Georgia"/>
          <w:b/>
          <w:bCs/>
          <w:color w:val="2F3932"/>
          <w:sz w:val="22"/>
          <w:szCs w:val="22"/>
        </w:rPr>
        <w:t xml:space="preserve">Common signs:</w:t>
      </w:r>
    </w:p>
    <w:p>
      <w:pPr>
        <w:pStyle w:val="ListParagraph"/>
        <w:numPr>
          <w:ilvl w:val="0"/>
          <w:numId w:val="8"/>
        </w:numPr>
        <w:spacing w:after="40" w:before="4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The answer does not distinguish current law from proposed law.</w:t>
      </w:r>
    </w:p>
    <w:p>
      <w:pPr>
        <w:pStyle w:val="ListParagraph"/>
        <w:numPr>
          <w:ilvl w:val="0"/>
          <w:numId w:val="8"/>
        </w:numPr>
        <w:spacing w:after="40" w:before="4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It ignores effective dates or amendments.</w:t>
      </w:r>
    </w:p>
    <w:p>
      <w:pPr>
        <w:pStyle w:val="ListParagraph"/>
        <w:numPr>
          <w:ilvl w:val="0"/>
          <w:numId w:val="8"/>
        </w:numPr>
        <w:spacing w:after="40" w:before="4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It cites cases that have been overruled, abrogated, superseded, or negatively treated.</w:t>
      </w:r>
    </w:p>
    <w:p>
      <w:pPr>
        <w:pBdr>
          <w:left w:val="single" w:color="E5E5E4" w:sz="8" w:space="8"/>
        </w:pBdr>
        <w:spacing w:after="120" w:before="160"/>
        <w:ind w:left="280"/>
      </w:pPr>
      <w:r>
        <w:rPr>
          <w:rFonts w:ascii="Georgia" w:cs="Georgia" w:eastAsia="Georgia" w:hAnsi="Georgia"/>
          <w:b/>
          <w:bCs/>
          <w:color w:val="2F3932"/>
          <w:sz w:val="22"/>
          <w:szCs w:val="22"/>
        </w:rPr>
        <w:t xml:space="preserve">Verification move: </w:t>
      </w:r>
      <w:r>
        <w:rPr>
          <w:rFonts w:ascii="Georgia" w:cs="Georgia" w:eastAsia="Georgia" w:hAnsi="Georgia"/>
          <w:i/>
          <w:iCs/>
          <w:color w:val="6B7570"/>
          <w:sz w:val="22"/>
          <w:szCs w:val="22"/>
        </w:rPr>
        <w:t xml:space="preserve">Check currency, amendment history, effective dates, and treatment.</w:t>
      </w:r>
    </w:p>
    <w:p>
      <w:pPr>
        <w:pBdr>
          <w:bottom w:val="single" w:color="E5E5E4" w:sz="4" w:space="4"/>
        </w:pBdr>
        <w:spacing w:after="80" w:before="320"/>
      </w:pPr>
      <w:r>
        <w:rPr>
          <w:rFonts w:ascii="Georgia" w:cs="Georgia" w:eastAsia="Georgia" w:hAnsi="Georgia"/>
          <w:b/>
          <w:bCs/>
          <w:color w:val="2F3932"/>
          <w:sz w:val="26"/>
          <w:szCs w:val="26"/>
        </w:rPr>
        <w:t xml:space="preserve">8. Overclaiming</w:t>
      </w:r>
    </w:p>
    <w:p>
      <w:pPr>
        <w:spacing w:after="80" w:before="10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The AI tool states a conclusion with more certainty than the authority supports.</w:t>
      </w:r>
    </w:p>
    <w:p>
      <w:pPr>
        <w:spacing w:after="60" w:before="160"/>
      </w:pPr>
      <w:r>
        <w:rPr>
          <w:rFonts w:ascii="Georgia" w:cs="Georgia" w:eastAsia="Georgia" w:hAnsi="Georgia"/>
          <w:b/>
          <w:bCs/>
          <w:color w:val="2F3932"/>
          <w:sz w:val="22"/>
          <w:szCs w:val="22"/>
        </w:rPr>
        <w:t xml:space="preserve">Common signs:</w:t>
      </w:r>
    </w:p>
    <w:p>
      <w:pPr>
        <w:pStyle w:val="ListParagraph"/>
        <w:numPr>
          <w:ilvl w:val="0"/>
          <w:numId w:val="9"/>
        </w:numPr>
        <w:spacing w:after="40" w:before="4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“Clearly,” “always,” “never,” or “courts uniformly hold.”</w:t>
      </w:r>
    </w:p>
    <w:p>
      <w:pPr>
        <w:pStyle w:val="ListParagraph"/>
        <w:numPr>
          <w:ilvl w:val="0"/>
          <w:numId w:val="9"/>
        </w:numPr>
        <w:spacing w:after="40" w:before="4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The answer ignores contrary authority.</w:t>
      </w:r>
    </w:p>
    <w:p>
      <w:pPr>
        <w:pStyle w:val="ListParagraph"/>
        <w:numPr>
          <w:ilvl w:val="0"/>
          <w:numId w:val="9"/>
        </w:numPr>
        <w:spacing w:after="40" w:before="4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The legal standard is described as settled when it is fact-specific or contested.</w:t>
      </w:r>
    </w:p>
    <w:p>
      <w:pPr>
        <w:pStyle w:val="ListParagraph"/>
        <w:numPr>
          <w:ilvl w:val="0"/>
          <w:numId w:val="9"/>
        </w:numPr>
        <w:spacing w:after="40" w:before="4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The tool turns a possible argument into a definite outcome.</w:t>
      </w:r>
    </w:p>
    <w:p>
      <w:pPr>
        <w:pBdr>
          <w:left w:val="single" w:color="E5E5E4" w:sz="8" w:space="8"/>
        </w:pBdr>
        <w:spacing w:after="120" w:before="160"/>
        <w:ind w:left="280"/>
      </w:pPr>
      <w:r>
        <w:rPr>
          <w:rFonts w:ascii="Georgia" w:cs="Georgia" w:eastAsia="Georgia" w:hAnsi="Georgia"/>
          <w:b/>
          <w:bCs/>
          <w:color w:val="2F3932"/>
          <w:sz w:val="22"/>
          <w:szCs w:val="22"/>
        </w:rPr>
        <w:t xml:space="preserve">Verification move: </w:t>
      </w:r>
      <w:r>
        <w:rPr>
          <w:rFonts w:ascii="Georgia" w:cs="Georgia" w:eastAsia="Georgia" w:hAnsi="Georgia"/>
          <w:i/>
          <w:iCs/>
          <w:color w:val="6B7570"/>
          <w:sz w:val="22"/>
          <w:szCs w:val="22"/>
        </w:rPr>
        <w:t xml:space="preserve">Look for contrary authority, exceptions, split authority, and factual limitations.</w:t>
      </w:r>
    </w:p>
    <w:p>
      <w:pPr>
        <w:spacing w:after="80" w:before="360"/>
      </w:pPr>
      <w:r>
        <w:rPr>
          <w:rFonts w:ascii="Georgia" w:cs="Georgia" w:eastAsia="Georgia" w:hAnsi="Georgia"/>
          <w:b/>
          <w:bCs/>
          <w:color w:val="2F3932"/>
          <w:spacing w:val="30"/>
          <w:sz w:val="18"/>
          <w:szCs w:val="18"/>
        </w:rPr>
        <w:t xml:space="preserve">BOTTOM LINE</w:t>
      </w:r>
    </w:p>
    <w:p>
      <w:pPr>
        <w:pBdr>
          <w:left w:val="single" w:color="E5E5E4" w:sz="16" w:space="8"/>
        </w:pBdr>
        <w:spacing w:after="200" w:before="0"/>
        <w:ind w:left="280"/>
      </w:pPr>
      <w:r>
        <w:rPr>
          <w:rFonts w:ascii="Georgia" w:cs="Georgia" w:eastAsia="Georgia" w:hAnsi="Georgia"/>
          <w:color w:val="2F3932"/>
          <w:sz w:val="22"/>
          <w:szCs w:val="22"/>
        </w:rPr>
        <w:t xml:space="preserve">When reviewing AI-assisted legal work, do not ask only whether the answer sounds right. Ask whether every legal proposition, citation, factual statement, and conclusion can be independently verified.</w:t>
      </w:r>
    </w:p>
    <w:sectPr>
      <w:footerReference w:type="default" r:id="rId7"/>
      <w:pgSz w:w="12240" w:h="15840" w:orient="portrait"/>
      <w:pgMar w:top="108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5E4" w:sz="4" w:space="3"/>
      </w:pBdr>
      <w:tabs>
        <w:tab w:val="right" w:pos="9360"/>
      </w:tabs>
      <w:spacing w:before="60"/>
    </w:pPr>
    <w:r>
      <w:rPr>
        <w:rFonts w:ascii="Georgia" w:cs="Georgia" w:eastAsia="Georgia" w:hAnsi="Georgia"/>
        <w:color w:val="8A918D"/>
        <w:sz w:val="14"/>
        <w:szCs w:val="14"/>
      </w:rPr>
      <w:t xml:space="preserve">Pavuluri, Emily. Teaching AI-Augmented Legal Research. Version 0.1, May 2026. ailegalresearch.org. CC BY-NC 4.0.</w:t>
    </w:r>
    <w:r>
      <w:rPr>
        <w:rFonts w:ascii="Georgia" w:cs="Georgia" w:eastAsia="Georgia" w:hAnsi="Georgia"/>
        <w:sz w:val="14"/>
        <w:szCs w:val="14"/>
      </w:rPr>
      <w:t xml:space="preserve">	</w:t>
    </w:r>
    <w:r>
      <w:rPr>
        <w:rFonts w:ascii="Georgia" w:cs="Georgia" w:eastAsia="Georgia" w:hAnsi="Georgia"/>
        <w:color w:val="8A918D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300"/>
      </w:pPr>
      <w:rPr>
        <w:rFonts w:ascii="Georgia" w:cs="Georgia" w:eastAsia="Georgia" w:hAnsi="Georgia"/>
        <w:color w:val="2F3932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300"/>
      </w:pPr>
      <w:rPr>
        <w:rFonts w:ascii="Georgia" w:cs="Georgia" w:eastAsia="Georgia" w:hAnsi="Georgia"/>
        <w:color w:val="2F3932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300"/>
      </w:pPr>
      <w:rPr>
        <w:rFonts w:ascii="Georgia" w:cs="Georgia" w:eastAsia="Georgia" w:hAnsi="Georgia"/>
        <w:color w:val="2F3932"/>
        <w:sz w:val="22"/>
        <w:szCs w:val="22"/>
      </w:r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300"/>
      </w:pPr>
      <w:rPr>
        <w:rFonts w:ascii="Georgia" w:cs="Georgia" w:eastAsia="Georgia" w:hAnsi="Georgia"/>
        <w:color w:val="2F3932"/>
        <w:sz w:val="22"/>
        <w:szCs w:val="22"/>
      </w:r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300"/>
      </w:pPr>
      <w:rPr>
        <w:rFonts w:ascii="Georgia" w:cs="Georgia" w:eastAsia="Georgia" w:hAnsi="Georgia"/>
        <w:color w:val="2F3932"/>
        <w:sz w:val="22"/>
        <w:szCs w:val="22"/>
      </w:r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300"/>
      </w:pPr>
      <w:rPr>
        <w:rFonts w:ascii="Georgia" w:cs="Georgia" w:eastAsia="Georgia" w:hAnsi="Georgia"/>
        <w:color w:val="2F3932"/>
        <w:sz w:val="22"/>
        <w:szCs w:val="22"/>
      </w:r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300"/>
      </w:pPr>
      <w:rPr>
        <w:rFonts w:ascii="Georgia" w:cs="Georgia" w:eastAsia="Georgia" w:hAnsi="Georgia"/>
        <w:color w:val="2F3932"/>
        <w:sz w:val="22"/>
        <w:szCs w:val="22"/>
      </w:r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300"/>
      </w:pPr>
      <w:rPr>
        <w:rFonts w:ascii="Georgia" w:cs="Georgia" w:eastAsia="Georgia" w:hAnsi="Georgia"/>
        <w:color w:val="2F3932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2F3932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2026-05-29T23:10:53.059Z</dcterms:created>
  <dcterms:modified xsi:type="dcterms:W3CDTF">2026-05-29T23:10:53.060Z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